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8779" w14:textId="77777777" w:rsidR="00B760E5" w:rsidRPr="005B1A3C" w:rsidRDefault="00DE5E46" w:rsidP="005B1A3C">
      <w:pPr>
        <w:spacing w:after="0" w:line="360" w:lineRule="auto"/>
        <w:jc w:val="center"/>
        <w:rPr>
          <w:bCs/>
          <w:sz w:val="28"/>
          <w:szCs w:val="28"/>
        </w:rPr>
      </w:pPr>
      <w:r w:rsidRPr="005B1A3C">
        <w:rPr>
          <w:bCs/>
          <w:sz w:val="28"/>
          <w:szCs w:val="28"/>
        </w:rPr>
        <w:t>New Hampshire Telephone Museum</w:t>
      </w:r>
    </w:p>
    <w:p w14:paraId="7DA7F868" w14:textId="77777777" w:rsidR="00DE5E46" w:rsidRPr="005B1A3C" w:rsidRDefault="00DE5E46" w:rsidP="00DD142A">
      <w:pPr>
        <w:jc w:val="center"/>
        <w:rPr>
          <w:b/>
          <w:bCs/>
          <w:sz w:val="28"/>
          <w:szCs w:val="28"/>
        </w:rPr>
      </w:pPr>
      <w:r w:rsidRPr="005B1A3C">
        <w:rPr>
          <w:b/>
          <w:bCs/>
          <w:sz w:val="28"/>
          <w:szCs w:val="28"/>
        </w:rPr>
        <w:t>Room Rental Policy</w:t>
      </w:r>
    </w:p>
    <w:p w14:paraId="2FF1AA9D" w14:textId="73E71382" w:rsidR="005D06E6" w:rsidRPr="005D06E6" w:rsidRDefault="005D06E6" w:rsidP="005D06E6">
      <w:pPr>
        <w:pStyle w:val="NormalWeb"/>
        <w:spacing w:before="0" w:beforeAutospacing="0" w:after="120" w:afterAutospacing="0" w:line="240" w:lineRule="atLeast"/>
        <w:rPr>
          <w:rFonts w:asciiTheme="minorHAnsi" w:hAnsiTheme="minorHAnsi" w:cs="Arial"/>
        </w:rPr>
      </w:pPr>
      <w:r w:rsidRPr="005D06E6">
        <w:rPr>
          <w:rFonts w:asciiTheme="minorHAnsi" w:hAnsiTheme="minorHAnsi" w:cs="Arial"/>
        </w:rPr>
        <w:t xml:space="preserve">The </w:t>
      </w:r>
      <w:r>
        <w:rPr>
          <w:rFonts w:asciiTheme="minorHAnsi" w:hAnsiTheme="minorHAnsi" w:cs="Arial"/>
        </w:rPr>
        <w:t>Museum’s</w:t>
      </w:r>
      <w:r w:rsidRPr="005D06E6">
        <w:rPr>
          <w:rFonts w:asciiTheme="minorHAnsi" w:hAnsiTheme="minorHAnsi" w:cs="Arial"/>
        </w:rPr>
        <w:t xml:space="preserve"> meeting room </w:t>
      </w:r>
      <w:r w:rsidR="005B1A3C">
        <w:rPr>
          <w:rFonts w:asciiTheme="minorHAnsi" w:hAnsiTheme="minorHAnsi" w:cs="Arial"/>
        </w:rPr>
        <w:t>is</w:t>
      </w:r>
      <w:r w:rsidRPr="005D06E6">
        <w:rPr>
          <w:rFonts w:asciiTheme="minorHAnsi" w:hAnsiTheme="minorHAnsi" w:cs="Arial"/>
        </w:rPr>
        <w:t xml:space="preserve"> primarily for programs sponsored or co-sponsored by the </w:t>
      </w:r>
      <w:r>
        <w:rPr>
          <w:rFonts w:asciiTheme="minorHAnsi" w:hAnsiTheme="minorHAnsi" w:cs="Arial"/>
        </w:rPr>
        <w:t>New Hampshire Telephone Museum</w:t>
      </w:r>
      <w:r w:rsidRPr="005D06E6">
        <w:rPr>
          <w:rFonts w:asciiTheme="minorHAnsi" w:hAnsiTheme="minorHAnsi" w:cs="Arial"/>
        </w:rPr>
        <w:t>.</w:t>
      </w:r>
    </w:p>
    <w:p w14:paraId="652B1430" w14:textId="02E45851" w:rsidR="005D06E6" w:rsidRPr="005D06E6" w:rsidRDefault="005D06E6" w:rsidP="005D06E6">
      <w:pPr>
        <w:pStyle w:val="NormalWeb"/>
        <w:spacing w:before="0" w:beforeAutospacing="0" w:after="120" w:afterAutospacing="0" w:line="240" w:lineRule="atLeast"/>
        <w:rPr>
          <w:rFonts w:asciiTheme="minorHAnsi" w:hAnsiTheme="minorHAnsi" w:cs="Arial"/>
        </w:rPr>
      </w:pPr>
      <w:r w:rsidRPr="005D06E6">
        <w:rPr>
          <w:rFonts w:asciiTheme="minorHAnsi" w:hAnsiTheme="minorHAnsi" w:cs="Arial"/>
        </w:rPr>
        <w:t xml:space="preserve">When not being used for </w:t>
      </w:r>
      <w:r>
        <w:rPr>
          <w:rFonts w:asciiTheme="minorHAnsi" w:hAnsiTheme="minorHAnsi" w:cs="Arial"/>
        </w:rPr>
        <w:t>museum</w:t>
      </w:r>
      <w:r w:rsidRPr="005D06E6">
        <w:rPr>
          <w:rFonts w:asciiTheme="minorHAnsi" w:hAnsiTheme="minorHAnsi" w:cs="Arial"/>
        </w:rPr>
        <w:t xml:space="preserve"> programs, the meeting room may be reserved for public gatherings.  Use of the meeting room is obtained through a written </w:t>
      </w:r>
      <w:r w:rsidR="00A676AF">
        <w:rPr>
          <w:rFonts w:asciiTheme="minorHAnsi" w:hAnsiTheme="minorHAnsi" w:cs="Arial"/>
        </w:rPr>
        <w:t>reservation</w:t>
      </w:r>
      <w:r w:rsidRPr="005D06E6">
        <w:rPr>
          <w:rFonts w:asciiTheme="minorHAnsi" w:hAnsiTheme="minorHAnsi" w:cs="Arial"/>
        </w:rPr>
        <w:t xml:space="preserve"> form.  </w:t>
      </w:r>
    </w:p>
    <w:p w14:paraId="40B25665" w14:textId="77777777" w:rsidR="00E05A2D" w:rsidRP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 xml:space="preserve">The Telephone Museum Board </w:t>
      </w:r>
      <w:r w:rsidR="004B7B73">
        <w:rPr>
          <w:rFonts w:asciiTheme="minorHAnsi" w:hAnsiTheme="minorHAnsi" w:cs="Arial"/>
        </w:rPr>
        <w:t>may</w:t>
      </w:r>
      <w:r w:rsidRPr="00E05A2D">
        <w:rPr>
          <w:rFonts w:asciiTheme="minorHAnsi" w:hAnsiTheme="minorHAnsi" w:cs="Arial"/>
        </w:rPr>
        <w:t xml:space="preserve"> permit the use of its museum meeting facilities by commercial organizations needing facilities for training or meetings</w:t>
      </w:r>
      <w:r w:rsidR="004B7B73">
        <w:rPr>
          <w:rFonts w:asciiTheme="minorHAnsi" w:hAnsiTheme="minorHAnsi" w:cs="Arial"/>
        </w:rPr>
        <w:t>, provided there is no danger of harm,</w:t>
      </w:r>
      <w:r w:rsidRPr="00E05A2D">
        <w:rPr>
          <w:rFonts w:asciiTheme="minorHAnsi" w:hAnsiTheme="minorHAnsi" w:cs="Arial"/>
        </w:rPr>
        <w:t xml:space="preserve"> for a predetermined fee and by educational, cultural, or civic groups which are of a non-profit nature at a 40% discounted rate of the predetermined fee</w:t>
      </w:r>
      <w:r w:rsidR="004B7B73">
        <w:rPr>
          <w:rFonts w:asciiTheme="minorHAnsi" w:hAnsiTheme="minorHAnsi" w:cs="Arial"/>
        </w:rPr>
        <w:t xml:space="preserve"> (see attached fee structure)</w:t>
      </w:r>
      <w:r w:rsidRPr="00E05A2D">
        <w:rPr>
          <w:rFonts w:asciiTheme="minorHAnsi" w:hAnsiTheme="minorHAnsi" w:cs="Arial"/>
        </w:rPr>
        <w:t>.</w:t>
      </w:r>
    </w:p>
    <w:p w14:paraId="14A93C2F" w14:textId="77777777" w:rsid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A non-profit organization is an association, club, or society that is operated exclusively for social welfare, civic improvement, pleasure, recreation, or any other purpose except profit. Groups may or may not be a registered charity with a charitable registration number.</w:t>
      </w:r>
    </w:p>
    <w:p w14:paraId="3B76823C" w14:textId="77777777" w:rsidR="005D06E6" w:rsidRPr="00E05A2D" w:rsidRDefault="005D06E6" w:rsidP="005D06E6">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The Telephone Museum Board does not endorse the views represented by any group booking its facilities. Promotional materials must not imply Museum sponsorship.</w:t>
      </w:r>
    </w:p>
    <w:p w14:paraId="4C6F0340" w14:textId="77777777" w:rsidR="00A676AF" w:rsidRPr="00E05A2D" w:rsidRDefault="00A676AF" w:rsidP="00A676AF">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All meeting room applications must be signed by someone eighteen (18) years of age or older, and at least one adult</w:t>
      </w:r>
      <w:r w:rsidR="004B7B73">
        <w:rPr>
          <w:rFonts w:asciiTheme="minorHAnsi" w:hAnsiTheme="minorHAnsi" w:cs="Arial"/>
        </w:rPr>
        <w:t>, approved by Museum staff,</w:t>
      </w:r>
      <w:r w:rsidRPr="00E05A2D">
        <w:rPr>
          <w:rFonts w:asciiTheme="minorHAnsi" w:hAnsiTheme="minorHAnsi" w:cs="Arial"/>
        </w:rPr>
        <w:t xml:space="preserve"> must be in attendance when the meeting room is used by minors.  The </w:t>
      </w:r>
      <w:r w:rsidR="004B7B73">
        <w:rPr>
          <w:rFonts w:asciiTheme="minorHAnsi" w:hAnsiTheme="minorHAnsi" w:cs="Arial"/>
        </w:rPr>
        <w:t xml:space="preserve">estimated </w:t>
      </w:r>
      <w:r w:rsidRPr="00E05A2D">
        <w:rPr>
          <w:rFonts w:asciiTheme="minorHAnsi" w:hAnsiTheme="minorHAnsi" w:cs="Arial"/>
        </w:rPr>
        <w:t>rental fee must accompany the application.</w:t>
      </w:r>
      <w:r w:rsidR="004B7B73">
        <w:rPr>
          <w:rFonts w:asciiTheme="minorHAnsi" w:hAnsiTheme="minorHAnsi" w:cs="Arial"/>
        </w:rPr>
        <w:t xml:space="preserve">  In the event of a cancellation, a full refund will be given only if the Museum receives notice 72 hours in advance.</w:t>
      </w:r>
    </w:p>
    <w:p w14:paraId="59DC84B7" w14:textId="77777777" w:rsidR="00E05A2D" w:rsidRP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 xml:space="preserve">The organizational representative signing this form must be in attendance to conduct and/or monitor the meeting. The representative may appoint a designee from the organization to attend in his/her place if he/she is unable to attend. The </w:t>
      </w:r>
      <w:r w:rsidR="005D06E6">
        <w:rPr>
          <w:rFonts w:asciiTheme="minorHAnsi" w:hAnsiTheme="minorHAnsi" w:cs="Arial"/>
        </w:rPr>
        <w:t>Museum</w:t>
      </w:r>
      <w:r w:rsidRPr="00E05A2D">
        <w:rPr>
          <w:rFonts w:asciiTheme="minorHAnsi" w:hAnsiTheme="minorHAnsi" w:cs="Arial"/>
        </w:rPr>
        <w:t xml:space="preserve"> must be given prior notice of the designee’s name, title, address and telephone number.</w:t>
      </w:r>
    </w:p>
    <w:p w14:paraId="7BDC51D8" w14:textId="77777777" w:rsidR="00E05A2D" w:rsidRP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The renter agrees to indemnify and save harmless the Telephone Museum Board from any action or claim being brought against it as a result of the use of the Telephone Museum facilities by the renter.</w:t>
      </w:r>
    </w:p>
    <w:p w14:paraId="4E3CC4DA" w14:textId="77777777" w:rsidR="00E05A2D" w:rsidRP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The Telephone Museum Board is not responsible for personal injury or damage, or for the loss or theft of clothing and equipment, of anyone attending on the invitation of the renter. This disclaimer also applies to the use of the parking lot.</w:t>
      </w:r>
    </w:p>
    <w:p w14:paraId="0C58C2EE" w14:textId="77777777" w:rsidR="00E05A2D" w:rsidRPr="005B1A3C" w:rsidRDefault="00E05A2D" w:rsidP="00E05A2D">
      <w:pPr>
        <w:pStyle w:val="NormalWeb"/>
        <w:spacing w:before="0" w:beforeAutospacing="0" w:after="120" w:afterAutospacing="0" w:line="240" w:lineRule="atLeast"/>
        <w:rPr>
          <w:rFonts w:asciiTheme="minorHAnsi" w:hAnsiTheme="minorHAnsi" w:cs="Arial"/>
          <w:b/>
          <w:bCs/>
        </w:rPr>
      </w:pPr>
      <w:r w:rsidRPr="005B1A3C">
        <w:rPr>
          <w:rFonts w:asciiTheme="minorHAnsi" w:hAnsiTheme="minorHAnsi" w:cs="Arial"/>
          <w:b/>
          <w:bCs/>
        </w:rPr>
        <w:t xml:space="preserve">Preparation of the room for the meeting, and clean-up following the meeting, are the responsibilities of the group requesting use of the room. </w:t>
      </w:r>
    </w:p>
    <w:p w14:paraId="443ACEDF" w14:textId="77777777" w:rsidR="00E05A2D" w:rsidRP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Any damage to the Telephone Museum building and/or its equipment must be repaired or replaced at the renter’s expense.</w:t>
      </w:r>
    </w:p>
    <w:p w14:paraId="1F1F1383" w14:textId="77777777" w:rsidR="00E05A2D" w:rsidRP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Number of persons cannot exceed maximum capacity as outlined below.</w:t>
      </w:r>
    </w:p>
    <w:p w14:paraId="4FC50AC1" w14:textId="1B7D1F4B" w:rsidR="004B7B73" w:rsidRPr="005B1A3C" w:rsidRDefault="004B7B73" w:rsidP="005B1A3C">
      <w:pPr>
        <w:rPr>
          <w:rFonts w:eastAsia="Times New Roman" w:cs="Arial"/>
          <w:sz w:val="24"/>
          <w:szCs w:val="24"/>
        </w:rPr>
      </w:pPr>
      <w:r>
        <w:rPr>
          <w:rFonts w:cs="Arial"/>
        </w:rPr>
        <w:t>Consumption of alcoholic beverages is not permitted in any Telephone Museum areas.</w:t>
      </w:r>
    </w:p>
    <w:p w14:paraId="553A5DFC" w14:textId="77777777" w:rsidR="00E05A2D" w:rsidRPr="005B1A3C" w:rsidRDefault="00E05A2D" w:rsidP="00E05A2D">
      <w:pPr>
        <w:pStyle w:val="NormalWeb"/>
        <w:spacing w:before="0" w:beforeAutospacing="0" w:after="120" w:afterAutospacing="0" w:line="240" w:lineRule="atLeast"/>
        <w:rPr>
          <w:rFonts w:asciiTheme="minorHAnsi" w:hAnsiTheme="minorHAnsi" w:cs="Arial"/>
          <w:b/>
          <w:bCs/>
        </w:rPr>
      </w:pPr>
      <w:r w:rsidRPr="005B1A3C">
        <w:rPr>
          <w:rFonts w:asciiTheme="minorHAnsi" w:hAnsiTheme="minorHAnsi" w:cs="Arial"/>
          <w:b/>
          <w:bCs/>
        </w:rPr>
        <w:t xml:space="preserve">Smoking is not permitted in any Telephone Museum </w:t>
      </w:r>
      <w:r w:rsidR="00A676AF" w:rsidRPr="005B1A3C">
        <w:rPr>
          <w:rFonts w:asciiTheme="minorHAnsi" w:hAnsiTheme="minorHAnsi" w:cs="Arial"/>
          <w:b/>
          <w:bCs/>
        </w:rPr>
        <w:t>areas</w:t>
      </w:r>
      <w:r w:rsidRPr="005B1A3C">
        <w:rPr>
          <w:rFonts w:asciiTheme="minorHAnsi" w:hAnsiTheme="minorHAnsi" w:cs="Arial"/>
          <w:b/>
          <w:bCs/>
        </w:rPr>
        <w:t>.</w:t>
      </w:r>
    </w:p>
    <w:p w14:paraId="11C1D396" w14:textId="77777777" w:rsidR="005B1A3C" w:rsidRDefault="005B1A3C" w:rsidP="00E05A2D">
      <w:pPr>
        <w:pStyle w:val="NormalWeb"/>
        <w:spacing w:before="0" w:beforeAutospacing="0" w:after="120" w:afterAutospacing="0" w:line="240" w:lineRule="atLeast"/>
        <w:rPr>
          <w:rFonts w:asciiTheme="minorHAnsi" w:hAnsiTheme="minorHAnsi" w:cs="Arial"/>
        </w:rPr>
      </w:pPr>
    </w:p>
    <w:p w14:paraId="3B347E83" w14:textId="571D152A" w:rsidR="00E05A2D" w:rsidRDefault="00E05A2D" w:rsidP="00E05A2D">
      <w:pPr>
        <w:pStyle w:val="NormalWeb"/>
        <w:spacing w:before="0" w:beforeAutospacing="0" w:after="120" w:afterAutospacing="0" w:line="240" w:lineRule="atLeast"/>
        <w:rPr>
          <w:rFonts w:asciiTheme="minorHAnsi" w:hAnsiTheme="minorHAnsi" w:cs="Arial"/>
        </w:rPr>
      </w:pPr>
      <w:r w:rsidRPr="00E05A2D">
        <w:rPr>
          <w:rFonts w:asciiTheme="minorHAnsi" w:hAnsiTheme="minorHAnsi" w:cs="Arial"/>
        </w:rPr>
        <w:t>Failure to abide by these regulations may result in the withdrawal of meeting room privileges.</w:t>
      </w:r>
    </w:p>
    <w:p w14:paraId="67E64BFE" w14:textId="77777777" w:rsidR="005D06E6" w:rsidRPr="005D06E6" w:rsidRDefault="005D06E6" w:rsidP="005D06E6">
      <w:pPr>
        <w:pStyle w:val="NormalWeb"/>
        <w:spacing w:before="0" w:beforeAutospacing="0" w:after="120" w:afterAutospacing="0" w:line="240" w:lineRule="atLeast"/>
        <w:rPr>
          <w:rFonts w:asciiTheme="minorHAnsi" w:hAnsiTheme="minorHAnsi" w:cs="Arial"/>
        </w:rPr>
      </w:pPr>
      <w:r w:rsidRPr="005D06E6">
        <w:rPr>
          <w:rFonts w:asciiTheme="minorHAnsi" w:hAnsiTheme="minorHAnsi" w:cs="Arial"/>
        </w:rPr>
        <w:t>Where scheduling conflicts exist, priority will be given as follows:</w:t>
      </w:r>
    </w:p>
    <w:p w14:paraId="08FE3867" w14:textId="77777777" w:rsidR="005D06E6" w:rsidRPr="005D06E6" w:rsidRDefault="005D06E6" w:rsidP="005D06E6">
      <w:pPr>
        <w:pStyle w:val="NormalWeb"/>
        <w:spacing w:before="0" w:beforeAutospacing="0" w:after="120" w:afterAutospacing="0" w:line="240" w:lineRule="atLeast"/>
        <w:ind w:left="360"/>
        <w:rPr>
          <w:rFonts w:asciiTheme="minorHAnsi" w:hAnsiTheme="minorHAnsi" w:cs="Arial"/>
        </w:rPr>
      </w:pPr>
      <w:r w:rsidRPr="005D06E6">
        <w:rPr>
          <w:rFonts w:asciiTheme="minorHAnsi" w:hAnsiTheme="minorHAnsi" w:cs="Arial"/>
        </w:rPr>
        <w:t xml:space="preserve">a.) </w:t>
      </w:r>
      <w:r>
        <w:rPr>
          <w:rFonts w:asciiTheme="minorHAnsi" w:hAnsiTheme="minorHAnsi" w:cs="Arial"/>
        </w:rPr>
        <w:t>Museum</w:t>
      </w:r>
      <w:r w:rsidRPr="005D06E6">
        <w:rPr>
          <w:rFonts w:asciiTheme="minorHAnsi" w:hAnsiTheme="minorHAnsi" w:cs="Arial"/>
        </w:rPr>
        <w:t xml:space="preserve"> programs</w:t>
      </w:r>
    </w:p>
    <w:p w14:paraId="1BC674D4" w14:textId="77777777" w:rsidR="005D06E6" w:rsidRPr="005D06E6" w:rsidRDefault="005D06E6" w:rsidP="005D06E6">
      <w:pPr>
        <w:pStyle w:val="NormalWeb"/>
        <w:spacing w:before="0" w:beforeAutospacing="0" w:after="120" w:afterAutospacing="0" w:line="240" w:lineRule="atLeast"/>
        <w:ind w:left="360"/>
        <w:rPr>
          <w:rFonts w:asciiTheme="minorHAnsi" w:hAnsiTheme="minorHAnsi" w:cs="Arial"/>
        </w:rPr>
      </w:pPr>
      <w:r w:rsidRPr="005D06E6">
        <w:rPr>
          <w:rFonts w:asciiTheme="minorHAnsi" w:hAnsiTheme="minorHAnsi" w:cs="Arial"/>
        </w:rPr>
        <w:t>b.) Town organizations</w:t>
      </w:r>
    </w:p>
    <w:p w14:paraId="277C9F57" w14:textId="77777777" w:rsidR="005D06E6" w:rsidRPr="005D06E6" w:rsidRDefault="005D06E6" w:rsidP="005D06E6">
      <w:pPr>
        <w:pStyle w:val="NormalWeb"/>
        <w:spacing w:before="0" w:beforeAutospacing="0" w:after="120" w:afterAutospacing="0" w:line="240" w:lineRule="atLeast"/>
        <w:ind w:left="360"/>
        <w:rPr>
          <w:rFonts w:asciiTheme="minorHAnsi" w:hAnsiTheme="minorHAnsi" w:cs="Arial"/>
        </w:rPr>
      </w:pPr>
      <w:r w:rsidRPr="005D06E6">
        <w:rPr>
          <w:rFonts w:asciiTheme="minorHAnsi" w:hAnsiTheme="minorHAnsi" w:cs="Arial"/>
        </w:rPr>
        <w:lastRenderedPageBreak/>
        <w:t>c.) N</w:t>
      </w:r>
      <w:r>
        <w:rPr>
          <w:rFonts w:asciiTheme="minorHAnsi" w:hAnsiTheme="minorHAnsi" w:cs="Arial"/>
        </w:rPr>
        <w:t>on-town organizations</w:t>
      </w:r>
    </w:p>
    <w:p w14:paraId="72F99A87" w14:textId="77777777" w:rsidR="005D06E6" w:rsidRPr="005D06E6" w:rsidRDefault="005D06E6" w:rsidP="005D06E6">
      <w:pPr>
        <w:pStyle w:val="NormalWeb"/>
        <w:spacing w:before="0" w:beforeAutospacing="0" w:after="120" w:afterAutospacing="0" w:line="240" w:lineRule="atLeast"/>
        <w:ind w:left="360"/>
        <w:rPr>
          <w:rFonts w:asciiTheme="minorHAnsi" w:hAnsiTheme="minorHAnsi" w:cs="Arial"/>
        </w:rPr>
      </w:pPr>
      <w:r w:rsidRPr="005D06E6">
        <w:rPr>
          <w:rFonts w:asciiTheme="minorHAnsi" w:hAnsiTheme="minorHAnsi" w:cs="Arial"/>
        </w:rPr>
        <w:t>d.) Other</w:t>
      </w:r>
    </w:p>
    <w:p w14:paraId="051AC5B3" w14:textId="77777777" w:rsidR="00D87302" w:rsidRDefault="00D87302" w:rsidP="005B1A3C">
      <w:pPr>
        <w:pStyle w:val="NormalWeb"/>
        <w:spacing w:before="0" w:beforeAutospacing="0" w:after="120" w:afterAutospacing="0" w:line="240" w:lineRule="atLeast"/>
        <w:rPr>
          <w:rFonts w:asciiTheme="minorHAnsi" w:hAnsiTheme="minorHAnsi" w:cs="Arial"/>
        </w:rPr>
      </w:pPr>
    </w:p>
    <w:p w14:paraId="6B88975D" w14:textId="5E2679C8" w:rsidR="00DE5E46" w:rsidRDefault="005D06E6" w:rsidP="005B1A3C">
      <w:pPr>
        <w:pStyle w:val="NormalWeb"/>
        <w:spacing w:before="0" w:beforeAutospacing="0" w:after="120" w:afterAutospacing="0" w:line="240" w:lineRule="atLeast"/>
        <w:rPr>
          <w:rFonts w:asciiTheme="minorHAnsi" w:hAnsiTheme="minorHAnsi" w:cs="Arial"/>
        </w:rPr>
      </w:pPr>
      <w:r w:rsidRPr="005D06E6">
        <w:rPr>
          <w:rFonts w:asciiTheme="minorHAnsi" w:hAnsiTheme="minorHAnsi" w:cs="Arial"/>
        </w:rPr>
        <w:t xml:space="preserve">The </w:t>
      </w:r>
      <w:r>
        <w:rPr>
          <w:rFonts w:asciiTheme="minorHAnsi" w:hAnsiTheme="minorHAnsi" w:cs="Arial"/>
        </w:rPr>
        <w:t>Museum</w:t>
      </w:r>
      <w:r w:rsidRPr="005D06E6">
        <w:rPr>
          <w:rFonts w:asciiTheme="minorHAnsi" w:hAnsiTheme="minorHAnsi" w:cs="Arial"/>
        </w:rPr>
        <w:t xml:space="preserve"> reserves the right to waive regulations at their discretion.</w:t>
      </w:r>
    </w:p>
    <w:p w14:paraId="0A3C88C1" w14:textId="77777777" w:rsidR="005B1A3C" w:rsidRPr="005B1A3C" w:rsidRDefault="005B1A3C" w:rsidP="005B1A3C">
      <w:pPr>
        <w:pStyle w:val="NormalWeb"/>
        <w:spacing w:before="0" w:beforeAutospacing="0" w:after="120" w:afterAutospacing="0" w:line="240" w:lineRule="atLeast"/>
        <w:rPr>
          <w:rFonts w:asciiTheme="minorHAnsi" w:hAnsiTheme="minorHAnsi" w:cs="Arial"/>
        </w:rPr>
      </w:pPr>
    </w:p>
    <w:tbl>
      <w:tblPr>
        <w:tblStyle w:val="TableGrid"/>
        <w:tblW w:w="0" w:type="auto"/>
        <w:tblLook w:val="04A0" w:firstRow="1" w:lastRow="0" w:firstColumn="1" w:lastColumn="0" w:noHBand="0" w:noVBand="1"/>
      </w:tblPr>
      <w:tblGrid>
        <w:gridCol w:w="1181"/>
        <w:gridCol w:w="983"/>
        <w:gridCol w:w="1349"/>
        <w:gridCol w:w="1234"/>
        <w:gridCol w:w="1503"/>
        <w:gridCol w:w="1042"/>
        <w:gridCol w:w="1129"/>
        <w:gridCol w:w="1155"/>
      </w:tblGrid>
      <w:tr w:rsidR="00A53B28" w:rsidRPr="005D06E6" w14:paraId="28318148" w14:textId="77777777" w:rsidTr="00AD2197">
        <w:tc>
          <w:tcPr>
            <w:tcW w:w="2164" w:type="dxa"/>
            <w:gridSpan w:val="2"/>
            <w:shd w:val="clear" w:color="auto" w:fill="4F6228" w:themeFill="accent3" w:themeFillShade="80"/>
            <w:vAlign w:val="center"/>
          </w:tcPr>
          <w:p w14:paraId="7223C01F" w14:textId="77777777" w:rsidR="00A53B28" w:rsidRPr="005D06E6" w:rsidRDefault="00A53B28" w:rsidP="001532B7">
            <w:pPr>
              <w:jc w:val="center"/>
              <w:rPr>
                <w:b/>
                <w:color w:val="FFFFFF" w:themeColor="background1"/>
                <w:sz w:val="24"/>
                <w:szCs w:val="24"/>
              </w:rPr>
            </w:pPr>
            <w:r w:rsidRPr="005D06E6">
              <w:rPr>
                <w:b/>
                <w:color w:val="FFFFFF" w:themeColor="background1"/>
                <w:sz w:val="24"/>
                <w:szCs w:val="24"/>
              </w:rPr>
              <w:t xml:space="preserve">The </w:t>
            </w:r>
            <w:proofErr w:type="spellStart"/>
            <w:r w:rsidR="001532B7">
              <w:rPr>
                <w:b/>
                <w:color w:val="FFFFFF" w:themeColor="background1"/>
                <w:sz w:val="24"/>
                <w:szCs w:val="24"/>
              </w:rPr>
              <w:t>Cloues</w:t>
            </w:r>
            <w:proofErr w:type="spellEnd"/>
            <w:r w:rsidRPr="005D06E6">
              <w:rPr>
                <w:b/>
                <w:color w:val="FFFFFF" w:themeColor="background1"/>
                <w:sz w:val="24"/>
                <w:szCs w:val="24"/>
              </w:rPr>
              <w:t xml:space="preserve"> Room</w:t>
            </w:r>
          </w:p>
        </w:tc>
        <w:tc>
          <w:tcPr>
            <w:tcW w:w="1349" w:type="dxa"/>
            <w:shd w:val="clear" w:color="auto" w:fill="EAF1DD" w:themeFill="accent3" w:themeFillTint="33"/>
            <w:vAlign w:val="center"/>
          </w:tcPr>
          <w:p w14:paraId="608E507C" w14:textId="77777777" w:rsidR="00A53B28" w:rsidRPr="005D06E6" w:rsidRDefault="00A53B28" w:rsidP="00AD2197">
            <w:pPr>
              <w:jc w:val="center"/>
              <w:rPr>
                <w:sz w:val="24"/>
                <w:szCs w:val="24"/>
              </w:rPr>
            </w:pPr>
            <w:r w:rsidRPr="005D06E6">
              <w:rPr>
                <w:sz w:val="24"/>
                <w:szCs w:val="24"/>
              </w:rPr>
              <w:t>Conference</w:t>
            </w:r>
          </w:p>
        </w:tc>
        <w:tc>
          <w:tcPr>
            <w:tcW w:w="1234" w:type="dxa"/>
            <w:shd w:val="clear" w:color="auto" w:fill="EAF1DD" w:themeFill="accent3" w:themeFillTint="33"/>
            <w:vAlign w:val="center"/>
          </w:tcPr>
          <w:p w14:paraId="4EB27C30" w14:textId="77777777" w:rsidR="00A53B28" w:rsidRPr="005D06E6" w:rsidRDefault="00A53B28" w:rsidP="00AD2197">
            <w:pPr>
              <w:jc w:val="center"/>
              <w:rPr>
                <w:sz w:val="24"/>
                <w:szCs w:val="24"/>
              </w:rPr>
            </w:pPr>
            <w:r w:rsidRPr="005D06E6">
              <w:rPr>
                <w:sz w:val="24"/>
                <w:szCs w:val="24"/>
              </w:rPr>
              <w:t>Theater</w:t>
            </w:r>
          </w:p>
        </w:tc>
        <w:tc>
          <w:tcPr>
            <w:tcW w:w="1503" w:type="dxa"/>
            <w:shd w:val="clear" w:color="auto" w:fill="EAF1DD" w:themeFill="accent3" w:themeFillTint="33"/>
            <w:vAlign w:val="center"/>
          </w:tcPr>
          <w:p w14:paraId="305320CB" w14:textId="77777777" w:rsidR="00A53B28" w:rsidRPr="005D06E6" w:rsidRDefault="00A53B28" w:rsidP="00AD2197">
            <w:pPr>
              <w:jc w:val="center"/>
              <w:rPr>
                <w:sz w:val="24"/>
                <w:szCs w:val="24"/>
              </w:rPr>
            </w:pPr>
            <w:r w:rsidRPr="005D06E6">
              <w:rPr>
                <w:sz w:val="24"/>
                <w:szCs w:val="24"/>
              </w:rPr>
              <w:t>Classroom</w:t>
            </w:r>
          </w:p>
        </w:tc>
        <w:tc>
          <w:tcPr>
            <w:tcW w:w="1042" w:type="dxa"/>
            <w:shd w:val="clear" w:color="auto" w:fill="EAF1DD" w:themeFill="accent3" w:themeFillTint="33"/>
          </w:tcPr>
          <w:p w14:paraId="01132D64" w14:textId="77777777" w:rsidR="00A53B28" w:rsidRDefault="00A53B28" w:rsidP="00BB32E6">
            <w:pPr>
              <w:jc w:val="center"/>
              <w:rPr>
                <w:sz w:val="24"/>
                <w:szCs w:val="24"/>
              </w:rPr>
            </w:pPr>
            <w:r>
              <w:rPr>
                <w:sz w:val="24"/>
                <w:szCs w:val="24"/>
              </w:rPr>
              <w:t>Rate</w:t>
            </w:r>
            <w:r w:rsidR="00BB32E6">
              <w:rPr>
                <w:sz w:val="24"/>
                <w:szCs w:val="24"/>
              </w:rPr>
              <w:t xml:space="preserve"> for </w:t>
            </w:r>
          </w:p>
          <w:p w14:paraId="1528C6BD" w14:textId="1B617B41" w:rsidR="00BB32E6" w:rsidRPr="005D06E6" w:rsidRDefault="00BB32E6" w:rsidP="00BB32E6">
            <w:pPr>
              <w:jc w:val="center"/>
              <w:rPr>
                <w:sz w:val="24"/>
                <w:szCs w:val="24"/>
              </w:rPr>
            </w:pPr>
            <w:r>
              <w:rPr>
                <w:sz w:val="24"/>
                <w:szCs w:val="24"/>
              </w:rPr>
              <w:t>first hour</w:t>
            </w:r>
          </w:p>
        </w:tc>
        <w:tc>
          <w:tcPr>
            <w:tcW w:w="1129" w:type="dxa"/>
            <w:shd w:val="clear" w:color="auto" w:fill="EAF1DD" w:themeFill="accent3" w:themeFillTint="33"/>
          </w:tcPr>
          <w:p w14:paraId="585CF1BD" w14:textId="5C6E9B39" w:rsidR="00A53B28" w:rsidRDefault="00A53B28" w:rsidP="0028671C">
            <w:pPr>
              <w:jc w:val="center"/>
              <w:rPr>
                <w:sz w:val="24"/>
                <w:szCs w:val="24"/>
              </w:rPr>
            </w:pPr>
            <w:r>
              <w:rPr>
                <w:sz w:val="24"/>
                <w:szCs w:val="24"/>
              </w:rPr>
              <w:t>Rate</w:t>
            </w:r>
            <w:r w:rsidR="00BB32E6">
              <w:rPr>
                <w:sz w:val="24"/>
                <w:szCs w:val="24"/>
              </w:rPr>
              <w:t xml:space="preserve"> per</w:t>
            </w:r>
          </w:p>
          <w:p w14:paraId="09BB23B1" w14:textId="77777777" w:rsidR="00A53B28" w:rsidRDefault="00A53B28" w:rsidP="0028671C">
            <w:pPr>
              <w:jc w:val="center"/>
              <w:rPr>
                <w:sz w:val="24"/>
                <w:szCs w:val="24"/>
              </w:rPr>
            </w:pPr>
            <w:r>
              <w:rPr>
                <w:sz w:val="24"/>
                <w:szCs w:val="24"/>
              </w:rPr>
              <w:t>Add’l hrs</w:t>
            </w:r>
          </w:p>
          <w:p w14:paraId="00B2C6E6" w14:textId="43C11DAA" w:rsidR="00BB32E6" w:rsidRPr="005D06E6" w:rsidRDefault="00BB32E6" w:rsidP="0028671C">
            <w:pPr>
              <w:jc w:val="center"/>
              <w:rPr>
                <w:sz w:val="24"/>
                <w:szCs w:val="24"/>
              </w:rPr>
            </w:pPr>
            <w:r>
              <w:rPr>
                <w:sz w:val="24"/>
                <w:szCs w:val="24"/>
              </w:rPr>
              <w:t>[incl. setup &amp; cleanup]</w:t>
            </w:r>
          </w:p>
        </w:tc>
        <w:tc>
          <w:tcPr>
            <w:tcW w:w="1155" w:type="dxa"/>
            <w:shd w:val="clear" w:color="auto" w:fill="EAF1DD" w:themeFill="accent3" w:themeFillTint="33"/>
          </w:tcPr>
          <w:p w14:paraId="65850612" w14:textId="77777777" w:rsidR="00A53B28" w:rsidRDefault="00A53B28" w:rsidP="0028671C">
            <w:pPr>
              <w:jc w:val="center"/>
              <w:rPr>
                <w:sz w:val="24"/>
                <w:szCs w:val="24"/>
              </w:rPr>
            </w:pPr>
            <w:r>
              <w:rPr>
                <w:sz w:val="24"/>
                <w:szCs w:val="24"/>
              </w:rPr>
              <w:t>Rate</w:t>
            </w:r>
          </w:p>
          <w:p w14:paraId="3B46DA4D" w14:textId="77777777" w:rsidR="00A53B28" w:rsidRDefault="00A53B28" w:rsidP="0028671C">
            <w:pPr>
              <w:jc w:val="center"/>
              <w:rPr>
                <w:sz w:val="24"/>
                <w:szCs w:val="24"/>
              </w:rPr>
            </w:pPr>
            <w:r>
              <w:rPr>
                <w:sz w:val="24"/>
                <w:szCs w:val="24"/>
              </w:rPr>
              <w:t>Recurring</w:t>
            </w:r>
          </w:p>
        </w:tc>
      </w:tr>
      <w:tr w:rsidR="00A53B28" w:rsidRPr="005D06E6" w14:paraId="3D8387A2" w14:textId="77777777" w:rsidTr="00A53B28">
        <w:tc>
          <w:tcPr>
            <w:tcW w:w="2164" w:type="dxa"/>
            <w:gridSpan w:val="2"/>
            <w:shd w:val="clear" w:color="auto" w:fill="EAF1DD" w:themeFill="accent3" w:themeFillTint="33"/>
          </w:tcPr>
          <w:p w14:paraId="0E3981AC" w14:textId="77777777" w:rsidR="00A53B28" w:rsidRPr="005D06E6" w:rsidRDefault="00A53B28" w:rsidP="00425AD9">
            <w:pPr>
              <w:rPr>
                <w:sz w:val="24"/>
                <w:szCs w:val="24"/>
              </w:rPr>
            </w:pPr>
            <w:r w:rsidRPr="005D06E6">
              <w:rPr>
                <w:sz w:val="24"/>
                <w:szCs w:val="24"/>
              </w:rPr>
              <w:t>Capacity:</w:t>
            </w:r>
          </w:p>
        </w:tc>
        <w:tc>
          <w:tcPr>
            <w:tcW w:w="1349" w:type="dxa"/>
          </w:tcPr>
          <w:p w14:paraId="4F306725" w14:textId="66D4F1F9" w:rsidR="00A53B28" w:rsidRPr="005D06E6" w:rsidRDefault="00A53B28" w:rsidP="00425AD9">
            <w:pPr>
              <w:jc w:val="center"/>
              <w:rPr>
                <w:sz w:val="24"/>
                <w:szCs w:val="24"/>
              </w:rPr>
            </w:pPr>
            <w:r w:rsidRPr="005D06E6">
              <w:rPr>
                <w:sz w:val="24"/>
                <w:szCs w:val="24"/>
              </w:rPr>
              <w:t>20</w:t>
            </w:r>
            <w:r w:rsidR="005B1A3C">
              <w:rPr>
                <w:sz w:val="24"/>
                <w:szCs w:val="24"/>
              </w:rPr>
              <w:t xml:space="preserve"> people</w:t>
            </w:r>
          </w:p>
        </w:tc>
        <w:tc>
          <w:tcPr>
            <w:tcW w:w="1234" w:type="dxa"/>
          </w:tcPr>
          <w:p w14:paraId="0EF1D11C" w14:textId="736CED58" w:rsidR="00A53B28" w:rsidRPr="005D06E6" w:rsidRDefault="00A53B28" w:rsidP="00425AD9">
            <w:pPr>
              <w:jc w:val="center"/>
              <w:rPr>
                <w:sz w:val="24"/>
                <w:szCs w:val="24"/>
              </w:rPr>
            </w:pPr>
            <w:r w:rsidRPr="005D06E6">
              <w:rPr>
                <w:sz w:val="24"/>
                <w:szCs w:val="24"/>
              </w:rPr>
              <w:t>40</w:t>
            </w:r>
            <w:r w:rsidR="005B1A3C">
              <w:rPr>
                <w:sz w:val="24"/>
                <w:szCs w:val="24"/>
              </w:rPr>
              <w:t xml:space="preserve"> people</w:t>
            </w:r>
          </w:p>
        </w:tc>
        <w:tc>
          <w:tcPr>
            <w:tcW w:w="1503" w:type="dxa"/>
          </w:tcPr>
          <w:p w14:paraId="6DEFCA67" w14:textId="1F24B50F" w:rsidR="00A53B28" w:rsidRPr="005D06E6" w:rsidRDefault="00A53B28" w:rsidP="00425AD9">
            <w:pPr>
              <w:jc w:val="center"/>
              <w:rPr>
                <w:sz w:val="24"/>
                <w:szCs w:val="24"/>
              </w:rPr>
            </w:pPr>
            <w:r w:rsidRPr="005D06E6">
              <w:rPr>
                <w:sz w:val="24"/>
                <w:szCs w:val="24"/>
              </w:rPr>
              <w:t>24</w:t>
            </w:r>
            <w:r w:rsidR="005B1A3C">
              <w:rPr>
                <w:sz w:val="24"/>
                <w:szCs w:val="24"/>
              </w:rPr>
              <w:t xml:space="preserve"> people</w:t>
            </w:r>
          </w:p>
        </w:tc>
        <w:tc>
          <w:tcPr>
            <w:tcW w:w="1042" w:type="dxa"/>
          </w:tcPr>
          <w:p w14:paraId="2334CA34" w14:textId="1ACBAF64" w:rsidR="00A53B28" w:rsidRPr="005D06E6" w:rsidRDefault="00A53B28" w:rsidP="007F2E90">
            <w:pPr>
              <w:jc w:val="center"/>
              <w:rPr>
                <w:sz w:val="24"/>
                <w:szCs w:val="24"/>
              </w:rPr>
            </w:pPr>
            <w:r>
              <w:rPr>
                <w:sz w:val="24"/>
                <w:szCs w:val="24"/>
              </w:rPr>
              <w:t>$</w:t>
            </w:r>
            <w:r w:rsidR="00BB32E6" w:rsidRPr="00BB32E6">
              <w:rPr>
                <w:b/>
                <w:bCs/>
                <w:sz w:val="24"/>
                <w:szCs w:val="24"/>
              </w:rPr>
              <w:t>100</w:t>
            </w:r>
          </w:p>
        </w:tc>
        <w:tc>
          <w:tcPr>
            <w:tcW w:w="1129" w:type="dxa"/>
          </w:tcPr>
          <w:p w14:paraId="3B3DFF3D" w14:textId="46C10036" w:rsidR="00A53B28" w:rsidRPr="005D06E6" w:rsidRDefault="00A53B28" w:rsidP="00425AD9">
            <w:pPr>
              <w:jc w:val="center"/>
              <w:rPr>
                <w:sz w:val="24"/>
                <w:szCs w:val="24"/>
              </w:rPr>
            </w:pPr>
            <w:r>
              <w:rPr>
                <w:sz w:val="24"/>
                <w:szCs w:val="24"/>
              </w:rPr>
              <w:t>$</w:t>
            </w:r>
            <w:r w:rsidR="00BB32E6" w:rsidRPr="00BB32E6">
              <w:rPr>
                <w:b/>
                <w:bCs/>
                <w:sz w:val="24"/>
                <w:szCs w:val="24"/>
              </w:rPr>
              <w:t>50</w:t>
            </w:r>
          </w:p>
        </w:tc>
        <w:tc>
          <w:tcPr>
            <w:tcW w:w="1155" w:type="dxa"/>
          </w:tcPr>
          <w:p w14:paraId="54759289" w14:textId="401B8DC2" w:rsidR="00A53B28" w:rsidRPr="005D06E6" w:rsidRDefault="00BB32E6" w:rsidP="007F2E90">
            <w:pPr>
              <w:jc w:val="center"/>
              <w:rPr>
                <w:sz w:val="24"/>
                <w:szCs w:val="24"/>
              </w:rPr>
            </w:pPr>
            <w:r>
              <w:rPr>
                <w:sz w:val="24"/>
                <w:szCs w:val="24"/>
              </w:rPr>
              <w:t>TBD</w:t>
            </w:r>
          </w:p>
        </w:tc>
      </w:tr>
      <w:tr w:rsidR="007F2E90" w:rsidRPr="005D06E6" w14:paraId="00C05474" w14:textId="77777777" w:rsidTr="007F2E90">
        <w:trPr>
          <w:trHeight w:val="438"/>
        </w:trPr>
        <w:tc>
          <w:tcPr>
            <w:tcW w:w="1181" w:type="dxa"/>
            <w:vMerge w:val="restart"/>
            <w:shd w:val="clear" w:color="auto" w:fill="EAF1DD" w:themeFill="accent3" w:themeFillTint="33"/>
          </w:tcPr>
          <w:p w14:paraId="79F720F9" w14:textId="77777777" w:rsidR="007F2E90" w:rsidRPr="005D06E6" w:rsidRDefault="007F2E90" w:rsidP="00425AD9">
            <w:pPr>
              <w:rPr>
                <w:sz w:val="24"/>
                <w:szCs w:val="24"/>
              </w:rPr>
            </w:pPr>
            <w:r w:rsidRPr="005D06E6">
              <w:rPr>
                <w:sz w:val="24"/>
                <w:szCs w:val="24"/>
              </w:rPr>
              <w:t>Includes:</w:t>
            </w:r>
          </w:p>
        </w:tc>
        <w:tc>
          <w:tcPr>
            <w:tcW w:w="5069" w:type="dxa"/>
            <w:gridSpan w:val="4"/>
            <w:vMerge w:val="restart"/>
          </w:tcPr>
          <w:p w14:paraId="18B8E978" w14:textId="77777777" w:rsidR="007F2E90" w:rsidRPr="005D06E6" w:rsidRDefault="007F2E90" w:rsidP="007F2E90">
            <w:pPr>
              <w:rPr>
                <w:sz w:val="24"/>
                <w:szCs w:val="24"/>
              </w:rPr>
            </w:pPr>
            <w:r w:rsidRPr="005D06E6">
              <w:rPr>
                <w:sz w:val="24"/>
                <w:szCs w:val="24"/>
              </w:rPr>
              <w:t>3 8’ tables; 4 6’ tables; 40 chairs</w:t>
            </w:r>
          </w:p>
          <w:p w14:paraId="08E1618F" w14:textId="77777777" w:rsidR="007F2E90" w:rsidRPr="005D06E6" w:rsidRDefault="007F2E90" w:rsidP="007F2E90">
            <w:pPr>
              <w:rPr>
                <w:sz w:val="24"/>
                <w:szCs w:val="24"/>
              </w:rPr>
            </w:pPr>
            <w:r w:rsidRPr="005D06E6">
              <w:rPr>
                <w:sz w:val="24"/>
                <w:szCs w:val="24"/>
              </w:rPr>
              <w:t>Bathroom facilities</w:t>
            </w:r>
          </w:p>
          <w:p w14:paraId="496870EF" w14:textId="199E0063" w:rsidR="007F2E90" w:rsidRPr="005D06E6" w:rsidRDefault="007F2E90" w:rsidP="007F2E90">
            <w:pPr>
              <w:rPr>
                <w:sz w:val="24"/>
                <w:szCs w:val="24"/>
              </w:rPr>
            </w:pPr>
            <w:r w:rsidRPr="005D06E6">
              <w:rPr>
                <w:sz w:val="24"/>
                <w:szCs w:val="24"/>
              </w:rPr>
              <w:t>Handicapped accessible</w:t>
            </w:r>
            <w:r w:rsidR="005B1A3C">
              <w:rPr>
                <w:sz w:val="24"/>
                <w:szCs w:val="24"/>
              </w:rPr>
              <w:t>/parking</w:t>
            </w:r>
          </w:p>
        </w:tc>
        <w:tc>
          <w:tcPr>
            <w:tcW w:w="3326" w:type="dxa"/>
            <w:gridSpan w:val="3"/>
            <w:shd w:val="clear" w:color="auto" w:fill="EAF1DD" w:themeFill="accent3" w:themeFillTint="33"/>
            <w:vAlign w:val="center"/>
          </w:tcPr>
          <w:p w14:paraId="46C14D53" w14:textId="77777777" w:rsidR="007F2E90" w:rsidRPr="005D06E6" w:rsidRDefault="007F2E90" w:rsidP="007F2E90">
            <w:pPr>
              <w:jc w:val="center"/>
              <w:rPr>
                <w:sz w:val="24"/>
                <w:szCs w:val="24"/>
              </w:rPr>
            </w:pPr>
            <w:r>
              <w:rPr>
                <w:sz w:val="24"/>
                <w:szCs w:val="24"/>
              </w:rPr>
              <w:t>Nonprofit Rate</w:t>
            </w:r>
          </w:p>
        </w:tc>
      </w:tr>
      <w:tr w:rsidR="007F2E90" w:rsidRPr="005D06E6" w14:paraId="2CC91644" w14:textId="77777777" w:rsidTr="007F2E90">
        <w:trPr>
          <w:trHeight w:val="438"/>
        </w:trPr>
        <w:tc>
          <w:tcPr>
            <w:tcW w:w="1181" w:type="dxa"/>
            <w:vMerge/>
            <w:shd w:val="clear" w:color="auto" w:fill="EAF1DD" w:themeFill="accent3" w:themeFillTint="33"/>
          </w:tcPr>
          <w:p w14:paraId="6D749DCF" w14:textId="77777777" w:rsidR="007F2E90" w:rsidRPr="005D06E6" w:rsidRDefault="007F2E90" w:rsidP="00425AD9">
            <w:pPr>
              <w:rPr>
                <w:sz w:val="24"/>
                <w:szCs w:val="24"/>
              </w:rPr>
            </w:pPr>
          </w:p>
        </w:tc>
        <w:tc>
          <w:tcPr>
            <w:tcW w:w="5069" w:type="dxa"/>
            <w:gridSpan w:val="4"/>
            <w:vMerge/>
          </w:tcPr>
          <w:p w14:paraId="2DD70CD5" w14:textId="77777777" w:rsidR="007F2E90" w:rsidRPr="005D06E6" w:rsidRDefault="007F2E90" w:rsidP="007F2E90">
            <w:pPr>
              <w:rPr>
                <w:sz w:val="24"/>
                <w:szCs w:val="24"/>
              </w:rPr>
            </w:pPr>
          </w:p>
        </w:tc>
        <w:tc>
          <w:tcPr>
            <w:tcW w:w="1042" w:type="dxa"/>
            <w:vAlign w:val="center"/>
          </w:tcPr>
          <w:p w14:paraId="2E140559" w14:textId="7BA459FF" w:rsidR="007F2E90" w:rsidRPr="005D06E6" w:rsidRDefault="007F2E90" w:rsidP="007F2E90">
            <w:pPr>
              <w:jc w:val="center"/>
              <w:rPr>
                <w:sz w:val="24"/>
                <w:szCs w:val="24"/>
              </w:rPr>
            </w:pPr>
            <w:r>
              <w:rPr>
                <w:sz w:val="24"/>
                <w:szCs w:val="24"/>
              </w:rPr>
              <w:t>$</w:t>
            </w:r>
            <w:r w:rsidR="00BB32E6">
              <w:rPr>
                <w:sz w:val="24"/>
                <w:szCs w:val="24"/>
              </w:rPr>
              <w:t>50</w:t>
            </w:r>
          </w:p>
        </w:tc>
        <w:tc>
          <w:tcPr>
            <w:tcW w:w="1129" w:type="dxa"/>
            <w:vAlign w:val="center"/>
          </w:tcPr>
          <w:p w14:paraId="511DE320" w14:textId="77E3012B" w:rsidR="007F2E90" w:rsidRPr="005D06E6" w:rsidRDefault="007F2E90" w:rsidP="007F2E90">
            <w:pPr>
              <w:jc w:val="center"/>
              <w:rPr>
                <w:sz w:val="24"/>
                <w:szCs w:val="24"/>
              </w:rPr>
            </w:pPr>
            <w:r>
              <w:rPr>
                <w:sz w:val="24"/>
                <w:szCs w:val="24"/>
              </w:rPr>
              <w:t>$</w:t>
            </w:r>
            <w:r w:rsidR="00BB32E6">
              <w:rPr>
                <w:sz w:val="24"/>
                <w:szCs w:val="24"/>
              </w:rPr>
              <w:t>25</w:t>
            </w:r>
          </w:p>
        </w:tc>
        <w:tc>
          <w:tcPr>
            <w:tcW w:w="1155" w:type="dxa"/>
            <w:vAlign w:val="center"/>
          </w:tcPr>
          <w:p w14:paraId="029F1A85" w14:textId="135A6375" w:rsidR="007F2E90" w:rsidRPr="005D06E6" w:rsidRDefault="00BB32E6" w:rsidP="007F2E90">
            <w:pPr>
              <w:jc w:val="center"/>
              <w:rPr>
                <w:sz w:val="24"/>
                <w:szCs w:val="24"/>
              </w:rPr>
            </w:pPr>
            <w:r>
              <w:rPr>
                <w:sz w:val="24"/>
                <w:szCs w:val="24"/>
              </w:rPr>
              <w:t>TBD</w:t>
            </w:r>
          </w:p>
        </w:tc>
      </w:tr>
      <w:tr w:rsidR="00AD2197" w:rsidRPr="005D06E6" w14:paraId="1780E40B" w14:textId="77777777" w:rsidTr="00006359">
        <w:trPr>
          <w:trHeight w:val="294"/>
        </w:trPr>
        <w:tc>
          <w:tcPr>
            <w:tcW w:w="1181" w:type="dxa"/>
            <w:tcBorders>
              <w:left w:val="nil"/>
              <w:bottom w:val="nil"/>
              <w:right w:val="nil"/>
            </w:tcBorders>
            <w:shd w:val="clear" w:color="auto" w:fill="auto"/>
          </w:tcPr>
          <w:p w14:paraId="39680027" w14:textId="03870C83" w:rsidR="00AD2197" w:rsidRPr="005D06E6" w:rsidRDefault="00AD2197" w:rsidP="00006359">
            <w:pPr>
              <w:rPr>
                <w:sz w:val="24"/>
                <w:szCs w:val="24"/>
              </w:rPr>
            </w:pPr>
          </w:p>
        </w:tc>
        <w:tc>
          <w:tcPr>
            <w:tcW w:w="5069" w:type="dxa"/>
            <w:gridSpan w:val="4"/>
            <w:tcBorders>
              <w:left w:val="nil"/>
              <w:bottom w:val="nil"/>
            </w:tcBorders>
          </w:tcPr>
          <w:p w14:paraId="65DAB3A7" w14:textId="77777777" w:rsidR="00AD2197" w:rsidRPr="005D06E6" w:rsidRDefault="00AD2197" w:rsidP="00006359">
            <w:pPr>
              <w:rPr>
                <w:sz w:val="24"/>
                <w:szCs w:val="24"/>
              </w:rPr>
            </w:pPr>
          </w:p>
        </w:tc>
        <w:tc>
          <w:tcPr>
            <w:tcW w:w="3326" w:type="dxa"/>
            <w:gridSpan w:val="3"/>
            <w:shd w:val="clear" w:color="auto" w:fill="EAF1DD" w:themeFill="accent3" w:themeFillTint="33"/>
          </w:tcPr>
          <w:p w14:paraId="74D63ECA" w14:textId="77777777" w:rsidR="00AD2197" w:rsidRPr="005B1A3C" w:rsidRDefault="00AD2197" w:rsidP="00006359">
            <w:pPr>
              <w:spacing w:before="60" w:after="60"/>
              <w:jc w:val="center"/>
              <w:rPr>
                <w:sz w:val="24"/>
                <w:szCs w:val="24"/>
                <w:u w:val="single"/>
              </w:rPr>
            </w:pPr>
            <w:r w:rsidRPr="005B1A3C">
              <w:rPr>
                <w:sz w:val="24"/>
                <w:szCs w:val="24"/>
                <w:u w:val="single"/>
              </w:rPr>
              <w:t>Museum Member Rate</w:t>
            </w:r>
          </w:p>
          <w:p w14:paraId="122B058E" w14:textId="0A7D49DB" w:rsidR="00BB32E6" w:rsidRDefault="00BB32E6" w:rsidP="00006359">
            <w:pPr>
              <w:spacing w:before="60" w:after="60"/>
              <w:jc w:val="center"/>
              <w:rPr>
                <w:sz w:val="24"/>
                <w:szCs w:val="24"/>
              </w:rPr>
            </w:pPr>
            <w:r>
              <w:rPr>
                <w:sz w:val="24"/>
                <w:szCs w:val="24"/>
              </w:rPr>
              <w:t xml:space="preserve">*For Innovator and Benefactor levels </w:t>
            </w:r>
            <w:r w:rsidRPr="005B1A3C">
              <w:rPr>
                <w:b/>
                <w:bCs/>
                <w:i/>
                <w:iCs/>
                <w:sz w:val="24"/>
                <w:szCs w:val="24"/>
              </w:rPr>
              <w:t>only</w:t>
            </w:r>
            <w:r>
              <w:rPr>
                <w:sz w:val="24"/>
                <w:szCs w:val="24"/>
              </w:rPr>
              <w:t>. All other museum members will be charged the nonprofit rate.</w:t>
            </w:r>
          </w:p>
        </w:tc>
      </w:tr>
      <w:tr w:rsidR="00AD2197" w:rsidRPr="005D06E6" w14:paraId="75A28DD6" w14:textId="77777777" w:rsidTr="00006359">
        <w:trPr>
          <w:trHeight w:val="294"/>
        </w:trPr>
        <w:tc>
          <w:tcPr>
            <w:tcW w:w="1181" w:type="dxa"/>
            <w:tcBorders>
              <w:top w:val="nil"/>
              <w:left w:val="nil"/>
              <w:bottom w:val="nil"/>
              <w:right w:val="nil"/>
            </w:tcBorders>
            <w:shd w:val="clear" w:color="auto" w:fill="auto"/>
          </w:tcPr>
          <w:p w14:paraId="46B92A1A" w14:textId="77777777" w:rsidR="00AD2197" w:rsidRPr="005D06E6" w:rsidRDefault="00AD2197" w:rsidP="00006359">
            <w:pPr>
              <w:rPr>
                <w:sz w:val="24"/>
                <w:szCs w:val="24"/>
              </w:rPr>
            </w:pPr>
          </w:p>
        </w:tc>
        <w:tc>
          <w:tcPr>
            <w:tcW w:w="5069" w:type="dxa"/>
            <w:gridSpan w:val="4"/>
            <w:tcBorders>
              <w:top w:val="nil"/>
              <w:left w:val="nil"/>
              <w:bottom w:val="nil"/>
            </w:tcBorders>
          </w:tcPr>
          <w:p w14:paraId="4890F273" w14:textId="77777777" w:rsidR="00AD2197" w:rsidRPr="005D06E6" w:rsidRDefault="00AD2197" w:rsidP="00006359">
            <w:pPr>
              <w:rPr>
                <w:sz w:val="24"/>
                <w:szCs w:val="24"/>
              </w:rPr>
            </w:pPr>
          </w:p>
        </w:tc>
        <w:tc>
          <w:tcPr>
            <w:tcW w:w="3326" w:type="dxa"/>
            <w:gridSpan w:val="3"/>
          </w:tcPr>
          <w:p w14:paraId="7BB1F8CB" w14:textId="4E962E3A" w:rsidR="00AD2197" w:rsidRDefault="00BB32E6" w:rsidP="004B7B73">
            <w:pPr>
              <w:spacing w:before="60" w:after="60"/>
              <w:jc w:val="center"/>
              <w:rPr>
                <w:sz w:val="24"/>
                <w:szCs w:val="24"/>
              </w:rPr>
            </w:pPr>
            <w:r>
              <w:rPr>
                <w:sz w:val="24"/>
                <w:szCs w:val="24"/>
              </w:rPr>
              <w:t>Complimentary</w:t>
            </w:r>
          </w:p>
        </w:tc>
      </w:tr>
    </w:tbl>
    <w:p w14:paraId="782841F3" w14:textId="77777777" w:rsidR="00DE5E46" w:rsidRDefault="00DE5E46"/>
    <w:sectPr w:rsidR="00DE5E46" w:rsidSect="005B1A3C">
      <w:pgSz w:w="12240" w:h="15840"/>
      <w:pgMar w:top="63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4BC3" w14:textId="77777777" w:rsidR="00A93FDC" w:rsidRDefault="00A93FDC" w:rsidP="00BF26F6">
      <w:pPr>
        <w:spacing w:after="0" w:line="240" w:lineRule="auto"/>
      </w:pPr>
      <w:r>
        <w:separator/>
      </w:r>
    </w:p>
  </w:endnote>
  <w:endnote w:type="continuationSeparator" w:id="0">
    <w:p w14:paraId="51D42B7D" w14:textId="77777777" w:rsidR="00A93FDC" w:rsidRDefault="00A93FDC" w:rsidP="00BF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5D0A" w14:textId="77777777" w:rsidR="00A93FDC" w:rsidRDefault="00A93FDC" w:rsidP="00BF26F6">
      <w:pPr>
        <w:spacing w:after="0" w:line="240" w:lineRule="auto"/>
      </w:pPr>
      <w:r>
        <w:separator/>
      </w:r>
    </w:p>
  </w:footnote>
  <w:footnote w:type="continuationSeparator" w:id="0">
    <w:p w14:paraId="29D3BA6F" w14:textId="77777777" w:rsidR="00A93FDC" w:rsidRDefault="00A93FDC" w:rsidP="00BF2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46"/>
    <w:rsid w:val="00006359"/>
    <w:rsid w:val="00010EF3"/>
    <w:rsid w:val="001300E0"/>
    <w:rsid w:val="001532B7"/>
    <w:rsid w:val="00170FEB"/>
    <w:rsid w:val="00207276"/>
    <w:rsid w:val="002235DC"/>
    <w:rsid w:val="0028671C"/>
    <w:rsid w:val="003D0CC7"/>
    <w:rsid w:val="00425AD9"/>
    <w:rsid w:val="00475980"/>
    <w:rsid w:val="004B7B73"/>
    <w:rsid w:val="004D15B8"/>
    <w:rsid w:val="00527C73"/>
    <w:rsid w:val="0056504E"/>
    <w:rsid w:val="0058418D"/>
    <w:rsid w:val="005B1A3C"/>
    <w:rsid w:val="005D06E6"/>
    <w:rsid w:val="006449BF"/>
    <w:rsid w:val="0066422E"/>
    <w:rsid w:val="00671225"/>
    <w:rsid w:val="006F4A75"/>
    <w:rsid w:val="007327E4"/>
    <w:rsid w:val="007F2E90"/>
    <w:rsid w:val="00817E0D"/>
    <w:rsid w:val="008746E0"/>
    <w:rsid w:val="008957BE"/>
    <w:rsid w:val="008E18CC"/>
    <w:rsid w:val="0098031C"/>
    <w:rsid w:val="00A53B28"/>
    <w:rsid w:val="00A676AF"/>
    <w:rsid w:val="00A93FDC"/>
    <w:rsid w:val="00AA60D1"/>
    <w:rsid w:val="00AD2197"/>
    <w:rsid w:val="00B16F6C"/>
    <w:rsid w:val="00B262B0"/>
    <w:rsid w:val="00B54B76"/>
    <w:rsid w:val="00B760E5"/>
    <w:rsid w:val="00B82367"/>
    <w:rsid w:val="00B93A86"/>
    <w:rsid w:val="00BB32E6"/>
    <w:rsid w:val="00BF26F6"/>
    <w:rsid w:val="00D126CC"/>
    <w:rsid w:val="00D754C7"/>
    <w:rsid w:val="00D87302"/>
    <w:rsid w:val="00D972F1"/>
    <w:rsid w:val="00DD142A"/>
    <w:rsid w:val="00DE5E46"/>
    <w:rsid w:val="00E05A2D"/>
    <w:rsid w:val="00F2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32C95"/>
  <w15:docId w15:val="{FC2CFF54-14DA-445B-AB4B-944B1F9F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5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5A2D"/>
  </w:style>
  <w:style w:type="character" w:styleId="PlaceholderText">
    <w:name w:val="Placeholder Text"/>
    <w:basedOn w:val="DefaultParagraphFont"/>
    <w:uiPriority w:val="99"/>
    <w:semiHidden/>
    <w:rsid w:val="00010EF3"/>
    <w:rPr>
      <w:color w:val="808080"/>
    </w:rPr>
  </w:style>
  <w:style w:type="paragraph" w:styleId="BalloonText">
    <w:name w:val="Balloon Text"/>
    <w:basedOn w:val="Normal"/>
    <w:link w:val="BalloonTextChar"/>
    <w:uiPriority w:val="99"/>
    <w:semiHidden/>
    <w:unhideWhenUsed/>
    <w:rsid w:val="00010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F3"/>
    <w:rPr>
      <w:rFonts w:ascii="Tahoma" w:hAnsi="Tahoma" w:cs="Tahoma"/>
      <w:sz w:val="16"/>
      <w:szCs w:val="16"/>
    </w:rPr>
  </w:style>
  <w:style w:type="paragraph" w:styleId="Header">
    <w:name w:val="header"/>
    <w:basedOn w:val="Normal"/>
    <w:link w:val="HeaderChar"/>
    <w:uiPriority w:val="99"/>
    <w:semiHidden/>
    <w:unhideWhenUsed/>
    <w:rsid w:val="00BF26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6F6"/>
  </w:style>
  <w:style w:type="paragraph" w:styleId="Footer">
    <w:name w:val="footer"/>
    <w:basedOn w:val="Normal"/>
    <w:link w:val="FooterChar"/>
    <w:uiPriority w:val="99"/>
    <w:semiHidden/>
    <w:unhideWhenUsed/>
    <w:rsid w:val="00BF2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8323">
      <w:bodyDiv w:val="1"/>
      <w:marLeft w:val="0"/>
      <w:marRight w:val="0"/>
      <w:marTop w:val="0"/>
      <w:marBottom w:val="0"/>
      <w:divBdr>
        <w:top w:val="none" w:sz="0" w:space="0" w:color="auto"/>
        <w:left w:val="none" w:sz="0" w:space="0" w:color="auto"/>
        <w:bottom w:val="none" w:sz="0" w:space="0" w:color="auto"/>
        <w:right w:val="none" w:sz="0" w:space="0" w:color="auto"/>
      </w:divBdr>
    </w:div>
    <w:div w:id="1127625874">
      <w:bodyDiv w:val="1"/>
      <w:marLeft w:val="0"/>
      <w:marRight w:val="0"/>
      <w:marTop w:val="0"/>
      <w:marBottom w:val="0"/>
      <w:divBdr>
        <w:top w:val="none" w:sz="0" w:space="0" w:color="auto"/>
        <w:left w:val="none" w:sz="0" w:space="0" w:color="auto"/>
        <w:bottom w:val="none" w:sz="0" w:space="0" w:color="auto"/>
        <w:right w:val="none" w:sz="0" w:space="0" w:color="auto"/>
      </w:divBdr>
    </w:div>
    <w:div w:id="2003461365">
      <w:bodyDiv w:val="1"/>
      <w:marLeft w:val="0"/>
      <w:marRight w:val="0"/>
      <w:marTop w:val="0"/>
      <w:marBottom w:val="0"/>
      <w:divBdr>
        <w:top w:val="none" w:sz="0" w:space="0" w:color="auto"/>
        <w:left w:val="none" w:sz="0" w:space="0" w:color="auto"/>
        <w:bottom w:val="none" w:sz="0" w:space="0" w:color="auto"/>
        <w:right w:val="none" w:sz="0" w:space="0" w:color="auto"/>
      </w:divBdr>
    </w:div>
    <w:div w:id="21208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Graham Gifford</cp:lastModifiedBy>
  <cp:revision>4</cp:revision>
  <cp:lastPrinted>2014-08-14T15:52:00Z</cp:lastPrinted>
  <dcterms:created xsi:type="dcterms:W3CDTF">2023-10-04T17:07:00Z</dcterms:created>
  <dcterms:modified xsi:type="dcterms:W3CDTF">2023-12-29T16:59:00Z</dcterms:modified>
</cp:coreProperties>
</file>